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932" w:rsidRDefault="007728D1" w:rsidP="007728D1">
      <w:pPr>
        <w:pStyle w:val="Heading1"/>
      </w:pPr>
      <w:r>
        <w:t>Property Development Process in the late 19</w:t>
      </w:r>
      <w:r w:rsidRPr="007728D1">
        <w:rPr>
          <w:vertAlign w:val="superscript"/>
        </w:rPr>
        <w:t>th</w:t>
      </w:r>
      <w:r>
        <w:t xml:space="preserve"> century in </w:t>
      </w:r>
      <w:proofErr w:type="spellStart"/>
      <w:r>
        <w:t>Pangalti-Sisli</w:t>
      </w:r>
      <w:proofErr w:type="spellEnd"/>
      <w:r>
        <w:t xml:space="preserve"> </w:t>
      </w:r>
    </w:p>
    <w:p w:rsidR="007728D1" w:rsidRDefault="007728D1" w:rsidP="007728D1"/>
    <w:p w:rsidR="00554351" w:rsidRDefault="00F06BFC" w:rsidP="00F06BFC">
      <w:pPr>
        <w:ind w:firstLine="720"/>
        <w:jc w:val="both"/>
        <w:rPr>
          <w:rFonts w:ascii="Arial" w:hAnsi="Arial" w:cs="Arial"/>
        </w:rPr>
      </w:pPr>
      <w:r>
        <w:rPr>
          <w:rFonts w:ascii="Arial" w:hAnsi="Arial" w:cs="Arial"/>
        </w:rPr>
        <w:t>Istanbul, similar to othe</w:t>
      </w:r>
      <w:r w:rsidR="00360914">
        <w:rPr>
          <w:rFonts w:ascii="Arial" w:hAnsi="Arial" w:cs="Arial"/>
        </w:rPr>
        <w:t>r metropolises in Europe in the 19</w:t>
      </w:r>
      <w:r w:rsidR="00360914" w:rsidRPr="00360914">
        <w:rPr>
          <w:rFonts w:ascii="Arial" w:hAnsi="Arial" w:cs="Arial"/>
          <w:vertAlign w:val="superscript"/>
        </w:rPr>
        <w:t>th</w:t>
      </w:r>
      <w:r w:rsidR="00360914">
        <w:rPr>
          <w:rFonts w:ascii="Arial" w:hAnsi="Arial" w:cs="Arial"/>
        </w:rPr>
        <w:t xml:space="preserve"> century, had a </w:t>
      </w:r>
      <w:r>
        <w:rPr>
          <w:rFonts w:ascii="Arial" w:hAnsi="Arial" w:cs="Arial"/>
        </w:rPr>
        <w:t xml:space="preserve">population expansion </w:t>
      </w:r>
      <w:r w:rsidR="007728D1" w:rsidRPr="007728D1">
        <w:rPr>
          <w:rFonts w:ascii="Arial" w:hAnsi="Arial" w:cs="Arial"/>
        </w:rPr>
        <w:t xml:space="preserve">and </w:t>
      </w:r>
      <w:r w:rsidR="00F3465F">
        <w:rPr>
          <w:rFonts w:ascii="Arial" w:hAnsi="Arial" w:cs="Arial"/>
        </w:rPr>
        <w:t>was facing a</w:t>
      </w:r>
      <w:r>
        <w:rPr>
          <w:rFonts w:ascii="Arial" w:hAnsi="Arial" w:cs="Arial"/>
        </w:rPr>
        <w:t xml:space="preserve"> h</w:t>
      </w:r>
      <w:r w:rsidR="00F3465F">
        <w:rPr>
          <w:rFonts w:ascii="Arial" w:hAnsi="Arial" w:cs="Arial"/>
        </w:rPr>
        <w:t xml:space="preserve">ousing crisis, although neither the population increase nor the housing crisis was as severe as the ones attested in London and Paris for the same period. Within 50 years from 1846 to 1896 Paris had a %150 population increase and London, from 1841 to 1891, saw a %220 population increase. The population influx in these cities were caused mainly by the immigration from rural areas to industrialised city centres in search of work. Whereas the most prominent </w:t>
      </w:r>
      <w:r w:rsidR="0005248A">
        <w:rPr>
          <w:rFonts w:ascii="Arial" w:hAnsi="Arial" w:cs="Arial"/>
        </w:rPr>
        <w:t xml:space="preserve">reason behind </w:t>
      </w:r>
      <w:r w:rsidR="00F3465F">
        <w:rPr>
          <w:rFonts w:ascii="Arial" w:hAnsi="Arial" w:cs="Arial"/>
        </w:rPr>
        <w:t>the immigration</w:t>
      </w:r>
      <w:r w:rsidR="0005248A">
        <w:rPr>
          <w:rFonts w:ascii="Arial" w:hAnsi="Arial" w:cs="Arial"/>
        </w:rPr>
        <w:t xml:space="preserve"> to Istanbul</w:t>
      </w:r>
      <w:r w:rsidR="00F3465F">
        <w:rPr>
          <w:rFonts w:ascii="Arial" w:hAnsi="Arial" w:cs="Arial"/>
        </w:rPr>
        <w:t xml:space="preserve"> </w:t>
      </w:r>
      <w:r w:rsidR="0005248A">
        <w:rPr>
          <w:rFonts w:ascii="Arial" w:hAnsi="Arial" w:cs="Arial"/>
        </w:rPr>
        <w:t>was the arrival of</w:t>
      </w:r>
      <w:r w:rsidR="00F3465F">
        <w:rPr>
          <w:rFonts w:ascii="Arial" w:hAnsi="Arial" w:cs="Arial"/>
        </w:rPr>
        <w:t xml:space="preserve"> the Ottoman subjects from the former territories. Another minor contribution came in the form of </w:t>
      </w:r>
      <w:r w:rsidR="0005248A">
        <w:rPr>
          <w:rFonts w:ascii="Arial" w:hAnsi="Arial" w:cs="Arial"/>
        </w:rPr>
        <w:t>i</w:t>
      </w:r>
      <w:r w:rsidR="00F3465F">
        <w:rPr>
          <w:rFonts w:ascii="Arial" w:hAnsi="Arial" w:cs="Arial"/>
        </w:rPr>
        <w:t>mmigration from Western countrie</w:t>
      </w:r>
      <w:r w:rsidR="0005248A">
        <w:rPr>
          <w:rFonts w:ascii="Arial" w:hAnsi="Arial" w:cs="Arial"/>
        </w:rPr>
        <w:t xml:space="preserve">s to Istanbul by those </w:t>
      </w:r>
      <w:r w:rsidR="00F3465F">
        <w:rPr>
          <w:rFonts w:ascii="Arial" w:hAnsi="Arial" w:cs="Arial"/>
        </w:rPr>
        <w:t>attracted by the many opportunities Istanbul promised.</w:t>
      </w:r>
      <w:r w:rsidR="0005248A">
        <w:rPr>
          <w:rFonts w:ascii="Arial" w:hAnsi="Arial" w:cs="Arial"/>
        </w:rPr>
        <w:t xml:space="preserve"> Istanbul’s population saw an increase of 100,000 non-Muslims settling in Istanbul from 1840 to 1900. Most</w:t>
      </w:r>
      <w:r w:rsidR="00360914">
        <w:rPr>
          <w:rFonts w:ascii="Arial" w:hAnsi="Arial" w:cs="Arial"/>
        </w:rPr>
        <w:t xml:space="preserve"> of these were the Ottoman non-M</w:t>
      </w:r>
      <w:r w:rsidR="0005248A">
        <w:rPr>
          <w:rFonts w:ascii="Arial" w:hAnsi="Arial" w:cs="Arial"/>
        </w:rPr>
        <w:t xml:space="preserve">uslim subjects, but %15 of Istanbul’s population were consisted of foreigners, including </w:t>
      </w:r>
      <w:r w:rsidR="00360914">
        <w:rPr>
          <w:rFonts w:ascii="Arial" w:hAnsi="Arial" w:cs="Arial"/>
        </w:rPr>
        <w:t>the former O</w:t>
      </w:r>
      <w:r w:rsidR="0005248A">
        <w:rPr>
          <w:rFonts w:ascii="Arial" w:hAnsi="Arial" w:cs="Arial"/>
        </w:rPr>
        <w:t xml:space="preserve">ttoman subjects who acquired foreign citizenship through </w:t>
      </w:r>
      <w:proofErr w:type="spellStart"/>
      <w:r w:rsidR="0005248A" w:rsidRPr="0005248A">
        <w:rPr>
          <w:rFonts w:ascii="Arial" w:hAnsi="Arial" w:cs="Arial"/>
          <w:i/>
        </w:rPr>
        <w:t>berat</w:t>
      </w:r>
      <w:r w:rsidR="0005248A">
        <w:rPr>
          <w:rFonts w:ascii="Arial" w:hAnsi="Arial" w:cs="Arial"/>
        </w:rPr>
        <w:t>s</w:t>
      </w:r>
      <w:proofErr w:type="spellEnd"/>
      <w:r w:rsidR="0005248A">
        <w:rPr>
          <w:rFonts w:ascii="Arial" w:hAnsi="Arial" w:cs="Arial"/>
        </w:rPr>
        <w:t xml:space="preserve"> granted by</w:t>
      </w:r>
      <w:r w:rsidR="00B47737">
        <w:rPr>
          <w:rFonts w:ascii="Arial" w:hAnsi="Arial" w:cs="Arial"/>
        </w:rPr>
        <w:t xml:space="preserve"> the</w:t>
      </w:r>
      <w:r w:rsidR="0005248A">
        <w:rPr>
          <w:rFonts w:ascii="Arial" w:hAnsi="Arial" w:cs="Arial"/>
        </w:rPr>
        <w:t xml:space="preserve"> embassies.</w:t>
      </w:r>
      <w:r w:rsidR="00360914">
        <w:rPr>
          <w:rFonts w:ascii="Arial" w:hAnsi="Arial" w:cs="Arial"/>
        </w:rPr>
        <w:t xml:space="preserve"> </w:t>
      </w:r>
      <w:r w:rsidR="00B47737">
        <w:rPr>
          <w:rFonts w:ascii="Arial" w:hAnsi="Arial" w:cs="Arial"/>
        </w:rPr>
        <w:t>S</w:t>
      </w:r>
      <w:r w:rsidR="00360914">
        <w:rPr>
          <w:rFonts w:ascii="Arial" w:hAnsi="Arial" w:cs="Arial"/>
        </w:rPr>
        <w:t xml:space="preserve">tronger trade relations with </w:t>
      </w:r>
      <w:r w:rsidR="00B47737">
        <w:rPr>
          <w:rFonts w:ascii="Arial" w:hAnsi="Arial" w:cs="Arial"/>
        </w:rPr>
        <w:t xml:space="preserve">the </w:t>
      </w:r>
      <w:proofErr w:type="gramStart"/>
      <w:r w:rsidR="00B47737">
        <w:rPr>
          <w:rFonts w:ascii="Arial" w:hAnsi="Arial" w:cs="Arial"/>
        </w:rPr>
        <w:t>West,</w:t>
      </w:r>
      <w:r w:rsidR="00360914">
        <w:rPr>
          <w:rFonts w:ascii="Arial" w:hAnsi="Arial" w:cs="Arial"/>
        </w:rPr>
        <w:t xml:space="preserve"> that flourished after the 1838 Anglo-Ottoman trade agreement (aka </w:t>
      </w:r>
      <w:proofErr w:type="spellStart"/>
      <w:r w:rsidR="00360914">
        <w:rPr>
          <w:rFonts w:ascii="Arial" w:hAnsi="Arial" w:cs="Arial"/>
        </w:rPr>
        <w:t>Baltalimani</w:t>
      </w:r>
      <w:proofErr w:type="spellEnd"/>
      <w:r w:rsidR="00360914">
        <w:rPr>
          <w:rFonts w:ascii="Arial" w:hAnsi="Arial" w:cs="Arial"/>
        </w:rPr>
        <w:t xml:space="preserve"> Treaty) and other subsequent agreements with </w:t>
      </w:r>
      <w:r w:rsidR="00B47737">
        <w:rPr>
          <w:rFonts w:ascii="Arial" w:hAnsi="Arial" w:cs="Arial"/>
        </w:rPr>
        <w:t xml:space="preserve">the </w:t>
      </w:r>
      <w:r w:rsidR="00360914">
        <w:rPr>
          <w:rFonts w:ascii="Arial" w:hAnsi="Arial" w:cs="Arial"/>
        </w:rPr>
        <w:t>other Western powers</w:t>
      </w:r>
      <w:r w:rsidR="00B47737">
        <w:rPr>
          <w:rFonts w:ascii="Arial" w:hAnsi="Arial" w:cs="Arial"/>
        </w:rPr>
        <w:t>,</w:t>
      </w:r>
      <w:proofErr w:type="gramEnd"/>
      <w:r w:rsidR="00360914">
        <w:rPr>
          <w:rFonts w:ascii="Arial" w:hAnsi="Arial" w:cs="Arial"/>
        </w:rPr>
        <w:t xml:space="preserve"> al</w:t>
      </w:r>
      <w:r w:rsidR="00B47737">
        <w:rPr>
          <w:rFonts w:ascii="Arial" w:hAnsi="Arial" w:cs="Arial"/>
        </w:rPr>
        <w:t>so created an extra pull factor</w:t>
      </w:r>
      <w:r w:rsidR="00360914">
        <w:rPr>
          <w:rFonts w:ascii="Arial" w:hAnsi="Arial" w:cs="Arial"/>
        </w:rPr>
        <w:t xml:space="preserve"> for many foreigners. </w:t>
      </w:r>
      <w:r w:rsidR="00362804">
        <w:rPr>
          <w:rFonts w:ascii="Arial" w:hAnsi="Arial" w:cs="Arial"/>
        </w:rPr>
        <w:t xml:space="preserve">Also the Ottoman reforms aimed to create better living conditions and faster transport connections with Europe </w:t>
      </w:r>
      <w:r w:rsidR="00BA59F1">
        <w:rPr>
          <w:rFonts w:ascii="Arial" w:hAnsi="Arial" w:cs="Arial"/>
        </w:rPr>
        <w:t xml:space="preserve">and also within the capital itself </w:t>
      </w:r>
      <w:r w:rsidR="00362804">
        <w:rPr>
          <w:rFonts w:ascii="Arial" w:hAnsi="Arial" w:cs="Arial"/>
        </w:rPr>
        <w:t xml:space="preserve">played their part in this population increase. </w:t>
      </w:r>
    </w:p>
    <w:p w:rsidR="007728D1" w:rsidRPr="007728D1" w:rsidRDefault="0005248A" w:rsidP="00F06BFC">
      <w:pPr>
        <w:ind w:firstLine="720"/>
        <w:jc w:val="both"/>
        <w:rPr>
          <w:rFonts w:ascii="Arial" w:hAnsi="Arial" w:cs="Arial"/>
        </w:rPr>
      </w:pPr>
      <w:r>
        <w:rPr>
          <w:rFonts w:ascii="Arial" w:hAnsi="Arial" w:cs="Arial"/>
        </w:rPr>
        <w:t xml:space="preserve"> </w:t>
      </w:r>
      <w:r w:rsidR="00B47737">
        <w:rPr>
          <w:rFonts w:ascii="Arial" w:hAnsi="Arial" w:cs="Arial"/>
        </w:rPr>
        <w:t xml:space="preserve">Parallel to the </w:t>
      </w:r>
      <w:r w:rsidR="00554351">
        <w:rPr>
          <w:rFonts w:ascii="Arial" w:hAnsi="Arial" w:cs="Arial"/>
        </w:rPr>
        <w:t>population</w:t>
      </w:r>
      <w:r w:rsidR="00B47737">
        <w:rPr>
          <w:rFonts w:ascii="Arial" w:hAnsi="Arial" w:cs="Arial"/>
        </w:rPr>
        <w:t xml:space="preserve"> increase</w:t>
      </w:r>
      <w:r w:rsidR="00554351">
        <w:rPr>
          <w:rFonts w:ascii="Arial" w:hAnsi="Arial" w:cs="Arial"/>
        </w:rPr>
        <w:t>,</w:t>
      </w:r>
      <w:r w:rsidR="00360914">
        <w:rPr>
          <w:rFonts w:ascii="Arial" w:hAnsi="Arial" w:cs="Arial"/>
        </w:rPr>
        <w:t xml:space="preserve"> </w:t>
      </w:r>
      <w:r w:rsidR="00B47737">
        <w:rPr>
          <w:rFonts w:ascii="Arial" w:hAnsi="Arial" w:cs="Arial"/>
        </w:rPr>
        <w:t xml:space="preserve">there was a growing need </w:t>
      </w:r>
      <w:r w:rsidR="00554351">
        <w:rPr>
          <w:rFonts w:ascii="Arial" w:hAnsi="Arial" w:cs="Arial"/>
        </w:rPr>
        <w:t>f</w:t>
      </w:r>
      <w:r w:rsidR="00B47737">
        <w:rPr>
          <w:rFonts w:ascii="Arial" w:hAnsi="Arial" w:cs="Arial"/>
        </w:rPr>
        <w:t>or</w:t>
      </w:r>
      <w:r w:rsidR="00554351">
        <w:rPr>
          <w:rFonts w:ascii="Arial" w:hAnsi="Arial" w:cs="Arial"/>
        </w:rPr>
        <w:t xml:space="preserve"> more housing.</w:t>
      </w:r>
      <w:r>
        <w:rPr>
          <w:rFonts w:ascii="Arial" w:hAnsi="Arial" w:cs="Arial"/>
        </w:rPr>
        <w:t xml:space="preserve"> </w:t>
      </w:r>
      <w:r w:rsidR="00B47737">
        <w:rPr>
          <w:rFonts w:ascii="Arial" w:hAnsi="Arial" w:cs="Arial"/>
        </w:rPr>
        <w:t>Furthermore, due to the new buildings raised on the plots destroyed by the ravaging fires, t</w:t>
      </w:r>
      <w:r w:rsidR="007728D1" w:rsidRPr="007728D1">
        <w:rPr>
          <w:rFonts w:ascii="Arial" w:hAnsi="Arial" w:cs="Arial"/>
        </w:rPr>
        <w:t>he</w:t>
      </w:r>
      <w:r w:rsidR="00554351">
        <w:rPr>
          <w:rFonts w:ascii="Arial" w:hAnsi="Arial" w:cs="Arial"/>
        </w:rPr>
        <w:t xml:space="preserve"> construction industry was in full bloom.</w:t>
      </w:r>
      <w:r w:rsidR="00B47737">
        <w:rPr>
          <w:rFonts w:ascii="Arial" w:hAnsi="Arial" w:cs="Arial"/>
        </w:rPr>
        <w:t xml:space="preserve"> Property prices were on the rise.</w:t>
      </w:r>
      <w:r w:rsidR="007728D1" w:rsidRPr="007728D1">
        <w:rPr>
          <w:rFonts w:ascii="Arial" w:hAnsi="Arial" w:cs="Arial"/>
        </w:rPr>
        <w:t xml:space="preserve"> </w:t>
      </w:r>
      <w:r w:rsidR="00B47737">
        <w:rPr>
          <w:rFonts w:ascii="Arial" w:hAnsi="Arial" w:cs="Arial"/>
        </w:rPr>
        <w:t xml:space="preserve">New land plots were </w:t>
      </w:r>
      <w:r w:rsidR="007728D1" w:rsidRPr="007728D1">
        <w:rPr>
          <w:rFonts w:ascii="Arial" w:hAnsi="Arial" w:cs="Arial"/>
        </w:rPr>
        <w:t>opening to development by the Ottoman state</w:t>
      </w:r>
      <w:r w:rsidR="00B47737">
        <w:rPr>
          <w:rStyle w:val="FootnoteReference"/>
          <w:rFonts w:ascii="Arial" w:hAnsi="Arial" w:cs="Arial"/>
        </w:rPr>
        <w:footnoteReference w:id="1"/>
      </w:r>
      <w:r w:rsidR="00943828">
        <w:rPr>
          <w:rFonts w:ascii="Arial" w:hAnsi="Arial" w:cs="Arial"/>
        </w:rPr>
        <w:t>. C</w:t>
      </w:r>
      <w:r w:rsidR="007728D1" w:rsidRPr="007728D1">
        <w:rPr>
          <w:rFonts w:ascii="Arial" w:hAnsi="Arial" w:cs="Arial"/>
        </w:rPr>
        <w:t>emeteries</w:t>
      </w:r>
      <w:r w:rsidR="00943828">
        <w:rPr>
          <w:rFonts w:ascii="Arial" w:hAnsi="Arial" w:cs="Arial"/>
        </w:rPr>
        <w:t xml:space="preserve"> were removed and </w:t>
      </w:r>
      <w:r w:rsidR="007728D1" w:rsidRPr="007728D1">
        <w:rPr>
          <w:rFonts w:ascii="Arial" w:hAnsi="Arial" w:cs="Arial"/>
        </w:rPr>
        <w:t>Galata walls</w:t>
      </w:r>
      <w:r w:rsidR="00943828">
        <w:rPr>
          <w:rFonts w:ascii="Arial" w:hAnsi="Arial" w:cs="Arial"/>
        </w:rPr>
        <w:t xml:space="preserve"> were torn down in order to create a more spacious settlement area</w:t>
      </w:r>
      <w:r w:rsidR="007728D1" w:rsidRPr="007728D1">
        <w:rPr>
          <w:rFonts w:ascii="Arial" w:hAnsi="Arial" w:cs="Arial"/>
        </w:rPr>
        <w:t xml:space="preserve">. </w:t>
      </w:r>
      <w:r w:rsidR="00943828">
        <w:rPr>
          <w:rFonts w:ascii="Arial" w:hAnsi="Arial" w:cs="Arial"/>
        </w:rPr>
        <w:t>M</w:t>
      </w:r>
      <w:r w:rsidR="007728D1" w:rsidRPr="007728D1">
        <w:rPr>
          <w:rFonts w:ascii="Arial" w:hAnsi="Arial" w:cs="Arial"/>
        </w:rPr>
        <w:t>any agents and groups were involved in the gradual urbanizat</w:t>
      </w:r>
      <w:r w:rsidR="00943828">
        <w:rPr>
          <w:rFonts w:ascii="Arial" w:hAnsi="Arial" w:cs="Arial"/>
        </w:rPr>
        <w:t xml:space="preserve">ion of Istanbul. </w:t>
      </w:r>
    </w:p>
    <w:p w:rsidR="007728D1" w:rsidRPr="007728D1" w:rsidRDefault="007728D1" w:rsidP="007728D1">
      <w:pPr>
        <w:ind w:firstLine="720"/>
        <w:jc w:val="both"/>
        <w:rPr>
          <w:rFonts w:ascii="Arial" w:hAnsi="Arial" w:cs="Arial"/>
        </w:rPr>
      </w:pPr>
      <w:r w:rsidRPr="007728D1">
        <w:rPr>
          <w:rFonts w:ascii="Arial" w:hAnsi="Arial" w:cs="Arial"/>
        </w:rPr>
        <w:t>The expansion of</w:t>
      </w:r>
      <w:r w:rsidR="00943828">
        <w:rPr>
          <w:rFonts w:ascii="Arial" w:hAnsi="Arial" w:cs="Arial"/>
        </w:rPr>
        <w:t xml:space="preserve"> </w:t>
      </w:r>
      <w:proofErr w:type="spellStart"/>
      <w:r w:rsidR="00943828">
        <w:rPr>
          <w:rFonts w:ascii="Arial" w:hAnsi="Arial" w:cs="Arial"/>
        </w:rPr>
        <w:t>Pera</w:t>
      </w:r>
      <w:proofErr w:type="spellEnd"/>
      <w:r w:rsidR="00943828">
        <w:rPr>
          <w:rFonts w:ascii="Arial" w:hAnsi="Arial" w:cs="Arial"/>
        </w:rPr>
        <w:t xml:space="preserve"> towards </w:t>
      </w:r>
      <w:proofErr w:type="spellStart"/>
      <w:r w:rsidR="00943828">
        <w:rPr>
          <w:rFonts w:ascii="Arial" w:hAnsi="Arial" w:cs="Arial"/>
        </w:rPr>
        <w:t>Harbiye</w:t>
      </w:r>
      <w:proofErr w:type="spellEnd"/>
      <w:r w:rsidR="00943828">
        <w:rPr>
          <w:rFonts w:ascii="Arial" w:hAnsi="Arial" w:cs="Arial"/>
        </w:rPr>
        <w:t xml:space="preserve"> is a good case study</w:t>
      </w:r>
      <w:r w:rsidRPr="007728D1">
        <w:rPr>
          <w:rFonts w:ascii="Arial" w:hAnsi="Arial" w:cs="Arial"/>
        </w:rPr>
        <w:t xml:space="preserve">, as attested by the many </w:t>
      </w:r>
      <w:r w:rsidR="00943828">
        <w:rPr>
          <w:rFonts w:ascii="Arial" w:hAnsi="Arial" w:cs="Arial"/>
        </w:rPr>
        <w:t xml:space="preserve">property </w:t>
      </w:r>
      <w:r w:rsidRPr="007728D1">
        <w:rPr>
          <w:rFonts w:ascii="Arial" w:hAnsi="Arial" w:cs="Arial"/>
        </w:rPr>
        <w:t>petitions</w:t>
      </w:r>
      <w:r w:rsidR="00943828">
        <w:rPr>
          <w:rStyle w:val="FootnoteReference"/>
          <w:rFonts w:ascii="Arial" w:hAnsi="Arial" w:cs="Arial"/>
        </w:rPr>
        <w:footnoteReference w:id="2"/>
      </w:r>
      <w:r w:rsidRPr="007728D1">
        <w:rPr>
          <w:rFonts w:ascii="Arial" w:hAnsi="Arial" w:cs="Arial"/>
        </w:rPr>
        <w:t xml:space="preserve"> to build on the empty lots. The busiest areas in terms of development are </w:t>
      </w:r>
      <w:proofErr w:type="spellStart"/>
      <w:r w:rsidRPr="007728D1">
        <w:rPr>
          <w:rFonts w:ascii="Arial" w:hAnsi="Arial" w:cs="Arial"/>
        </w:rPr>
        <w:t>Pangalti</w:t>
      </w:r>
      <w:proofErr w:type="spellEnd"/>
      <w:r w:rsidRPr="007728D1">
        <w:rPr>
          <w:rFonts w:ascii="Arial" w:hAnsi="Arial" w:cs="Arial"/>
        </w:rPr>
        <w:t xml:space="preserve">, </w:t>
      </w:r>
      <w:proofErr w:type="spellStart"/>
      <w:r w:rsidRPr="007728D1">
        <w:rPr>
          <w:rFonts w:ascii="Arial" w:hAnsi="Arial" w:cs="Arial"/>
        </w:rPr>
        <w:t>Tesvikiye</w:t>
      </w:r>
      <w:proofErr w:type="spellEnd"/>
      <w:r w:rsidRPr="007728D1">
        <w:rPr>
          <w:rFonts w:ascii="Arial" w:hAnsi="Arial" w:cs="Arial"/>
        </w:rPr>
        <w:t xml:space="preserve"> and </w:t>
      </w:r>
      <w:proofErr w:type="spellStart"/>
      <w:r w:rsidRPr="007728D1">
        <w:rPr>
          <w:rFonts w:ascii="Arial" w:hAnsi="Arial" w:cs="Arial"/>
        </w:rPr>
        <w:t>Sisli</w:t>
      </w:r>
      <w:proofErr w:type="spellEnd"/>
      <w:r w:rsidRPr="007728D1">
        <w:rPr>
          <w:rFonts w:ascii="Arial" w:hAnsi="Arial" w:cs="Arial"/>
        </w:rPr>
        <w:t xml:space="preserve">. Obviously the main reason for this expansion was the availability of empty lots. But there were other factors contributing to this expansion: the tightness of </w:t>
      </w:r>
      <w:proofErr w:type="spellStart"/>
      <w:r w:rsidRPr="007728D1">
        <w:rPr>
          <w:rFonts w:ascii="Arial" w:hAnsi="Arial" w:cs="Arial"/>
        </w:rPr>
        <w:t>Eminonu</w:t>
      </w:r>
      <w:proofErr w:type="spellEnd"/>
      <w:r w:rsidRPr="007728D1">
        <w:rPr>
          <w:rFonts w:ascii="Arial" w:hAnsi="Arial" w:cs="Arial"/>
        </w:rPr>
        <w:t xml:space="preserve"> business district and the development of Galata as a finance </w:t>
      </w:r>
      <w:proofErr w:type="spellStart"/>
      <w:r w:rsidRPr="007728D1">
        <w:rPr>
          <w:rFonts w:ascii="Arial" w:hAnsi="Arial" w:cs="Arial"/>
        </w:rPr>
        <w:t>center</w:t>
      </w:r>
      <w:proofErr w:type="spellEnd"/>
      <w:r w:rsidRPr="007728D1">
        <w:rPr>
          <w:rFonts w:ascii="Arial" w:hAnsi="Arial" w:cs="Arial"/>
          <w:vertAlign w:val="superscript"/>
        </w:rPr>
        <w:footnoteReference w:id="3"/>
      </w:r>
      <w:r w:rsidRPr="007728D1">
        <w:rPr>
          <w:rFonts w:ascii="Arial" w:hAnsi="Arial" w:cs="Arial"/>
        </w:rPr>
        <w:t xml:space="preserve">, the proximity and ease of travel from </w:t>
      </w:r>
      <w:proofErr w:type="spellStart"/>
      <w:r w:rsidRPr="007728D1">
        <w:rPr>
          <w:rFonts w:ascii="Arial" w:hAnsi="Arial" w:cs="Arial"/>
        </w:rPr>
        <w:t>Sisli</w:t>
      </w:r>
      <w:proofErr w:type="spellEnd"/>
      <w:r w:rsidRPr="007728D1">
        <w:rPr>
          <w:rFonts w:ascii="Arial" w:hAnsi="Arial" w:cs="Arial"/>
        </w:rPr>
        <w:t xml:space="preserve"> to Galata, moving of the palace from </w:t>
      </w:r>
      <w:proofErr w:type="spellStart"/>
      <w:r w:rsidRPr="007728D1">
        <w:rPr>
          <w:rFonts w:ascii="Arial" w:hAnsi="Arial" w:cs="Arial"/>
        </w:rPr>
        <w:t>Topkapi</w:t>
      </w:r>
      <w:proofErr w:type="spellEnd"/>
      <w:r w:rsidRPr="007728D1">
        <w:rPr>
          <w:rFonts w:ascii="Arial" w:hAnsi="Arial" w:cs="Arial"/>
        </w:rPr>
        <w:t xml:space="preserve"> to </w:t>
      </w:r>
      <w:proofErr w:type="spellStart"/>
      <w:r w:rsidRPr="007728D1">
        <w:rPr>
          <w:rFonts w:ascii="Arial" w:hAnsi="Arial" w:cs="Arial"/>
        </w:rPr>
        <w:t>Dolmabahce</w:t>
      </w:r>
      <w:proofErr w:type="spellEnd"/>
      <w:r w:rsidRPr="007728D1">
        <w:rPr>
          <w:rFonts w:ascii="Arial" w:hAnsi="Arial" w:cs="Arial"/>
        </w:rPr>
        <w:t xml:space="preserve"> then to </w:t>
      </w:r>
      <w:proofErr w:type="spellStart"/>
      <w:r w:rsidRPr="007728D1">
        <w:rPr>
          <w:rFonts w:ascii="Arial" w:hAnsi="Arial" w:cs="Arial"/>
        </w:rPr>
        <w:t>Yildiz</w:t>
      </w:r>
      <w:proofErr w:type="spellEnd"/>
      <w:r w:rsidRPr="007728D1">
        <w:rPr>
          <w:rFonts w:ascii="Arial" w:hAnsi="Arial" w:cs="Arial"/>
        </w:rPr>
        <w:t xml:space="preserve"> and the proximity of </w:t>
      </w:r>
      <w:proofErr w:type="spellStart"/>
      <w:r w:rsidRPr="007728D1">
        <w:rPr>
          <w:rFonts w:ascii="Arial" w:hAnsi="Arial" w:cs="Arial"/>
        </w:rPr>
        <w:t>Sisli</w:t>
      </w:r>
      <w:proofErr w:type="spellEnd"/>
      <w:r w:rsidRPr="007728D1">
        <w:rPr>
          <w:rFonts w:ascii="Arial" w:hAnsi="Arial" w:cs="Arial"/>
        </w:rPr>
        <w:t xml:space="preserve"> and </w:t>
      </w:r>
      <w:proofErr w:type="spellStart"/>
      <w:r w:rsidRPr="007728D1">
        <w:rPr>
          <w:rFonts w:ascii="Arial" w:hAnsi="Arial" w:cs="Arial"/>
        </w:rPr>
        <w:t>Pera</w:t>
      </w:r>
      <w:proofErr w:type="spellEnd"/>
      <w:r w:rsidRPr="007728D1">
        <w:rPr>
          <w:rFonts w:ascii="Arial" w:hAnsi="Arial" w:cs="Arial"/>
        </w:rPr>
        <w:t xml:space="preserve"> to these palaces, the new bridge built between </w:t>
      </w:r>
      <w:proofErr w:type="spellStart"/>
      <w:r w:rsidRPr="007728D1">
        <w:rPr>
          <w:rFonts w:ascii="Arial" w:hAnsi="Arial" w:cs="Arial"/>
        </w:rPr>
        <w:t>Eminonu</w:t>
      </w:r>
      <w:proofErr w:type="spellEnd"/>
      <w:r w:rsidRPr="007728D1">
        <w:rPr>
          <w:rFonts w:ascii="Arial" w:hAnsi="Arial" w:cs="Arial"/>
        </w:rPr>
        <w:t xml:space="preserve"> and </w:t>
      </w:r>
      <w:proofErr w:type="spellStart"/>
      <w:r w:rsidRPr="007728D1">
        <w:rPr>
          <w:rFonts w:ascii="Arial" w:hAnsi="Arial" w:cs="Arial"/>
        </w:rPr>
        <w:t>Karakoy</w:t>
      </w:r>
      <w:proofErr w:type="spellEnd"/>
      <w:r w:rsidRPr="007728D1">
        <w:rPr>
          <w:rFonts w:ascii="Arial" w:hAnsi="Arial" w:cs="Arial"/>
        </w:rPr>
        <w:t xml:space="preserve"> and </w:t>
      </w:r>
      <w:r w:rsidR="00943828">
        <w:rPr>
          <w:rFonts w:ascii="Arial" w:hAnsi="Arial" w:cs="Arial"/>
        </w:rPr>
        <w:t xml:space="preserve">thus </w:t>
      </w:r>
      <w:r w:rsidRPr="007728D1">
        <w:rPr>
          <w:rFonts w:ascii="Arial" w:hAnsi="Arial" w:cs="Arial"/>
        </w:rPr>
        <w:t>the increased connectivity between the historical peninsula to Galata, the setting of the 6</w:t>
      </w:r>
      <w:r w:rsidRPr="007728D1">
        <w:rPr>
          <w:rFonts w:ascii="Arial" w:hAnsi="Arial" w:cs="Arial"/>
          <w:vertAlign w:val="superscript"/>
        </w:rPr>
        <w:t>th</w:t>
      </w:r>
      <w:r w:rsidRPr="007728D1">
        <w:rPr>
          <w:rFonts w:ascii="Arial" w:hAnsi="Arial" w:cs="Arial"/>
        </w:rPr>
        <w:t xml:space="preserve"> circle municipality and its modernisation efforts. </w:t>
      </w:r>
    </w:p>
    <w:p w:rsidR="00943828" w:rsidRDefault="007728D1" w:rsidP="00943828">
      <w:pPr>
        <w:ind w:firstLine="720"/>
        <w:jc w:val="both"/>
        <w:rPr>
          <w:rFonts w:ascii="Arial" w:hAnsi="Arial" w:cs="Arial"/>
        </w:rPr>
      </w:pPr>
      <w:r w:rsidRPr="007728D1">
        <w:rPr>
          <w:rFonts w:ascii="Arial" w:hAnsi="Arial" w:cs="Arial"/>
        </w:rPr>
        <w:lastRenderedPageBreak/>
        <w:t xml:space="preserve">In 1910 there were approximately 350 apartment buildings. By 1922 the number </w:t>
      </w:r>
      <w:r w:rsidR="00943828">
        <w:rPr>
          <w:rFonts w:ascii="Arial" w:hAnsi="Arial" w:cs="Arial"/>
        </w:rPr>
        <w:t xml:space="preserve">of apartment buildings have </w:t>
      </w:r>
      <w:r w:rsidRPr="007728D1">
        <w:rPr>
          <w:rFonts w:ascii="Arial" w:hAnsi="Arial" w:cs="Arial"/>
        </w:rPr>
        <w:t>almost tripled and exceeded 1000.</w:t>
      </w:r>
      <w:r w:rsidRPr="007728D1">
        <w:rPr>
          <w:rFonts w:ascii="Arial" w:hAnsi="Arial" w:cs="Arial"/>
          <w:vertAlign w:val="superscript"/>
        </w:rPr>
        <w:footnoteReference w:id="4"/>
      </w:r>
      <w:r w:rsidRPr="007728D1">
        <w:rPr>
          <w:rFonts w:ascii="Arial" w:hAnsi="Arial" w:cs="Arial"/>
        </w:rPr>
        <w:t xml:space="preserve"> Especially The Building Law of 1882 contributed to the development of apartments.</w:t>
      </w:r>
      <w:r w:rsidRPr="007728D1">
        <w:rPr>
          <w:rFonts w:ascii="Arial" w:hAnsi="Arial" w:cs="Arial"/>
          <w:vertAlign w:val="superscript"/>
        </w:rPr>
        <w:footnoteReference w:id="5"/>
      </w:r>
      <w:r w:rsidRPr="007728D1">
        <w:rPr>
          <w:rFonts w:ascii="Arial" w:hAnsi="Arial" w:cs="Arial"/>
        </w:rPr>
        <w:t xml:space="preserve"> </w:t>
      </w:r>
    </w:p>
    <w:p w:rsidR="00943828" w:rsidRDefault="00943828" w:rsidP="00943828">
      <w:pPr>
        <w:ind w:firstLine="720"/>
        <w:jc w:val="both"/>
        <w:rPr>
          <w:rFonts w:ascii="Arial" w:hAnsi="Arial" w:cs="Arial"/>
        </w:rPr>
      </w:pPr>
      <w:r>
        <w:rPr>
          <w:rFonts w:ascii="Arial" w:hAnsi="Arial" w:cs="Arial"/>
        </w:rPr>
        <w:t xml:space="preserve">The talk will conclude with a short </w:t>
      </w:r>
      <w:r w:rsidR="00D829A0">
        <w:rPr>
          <w:rFonts w:ascii="Arial" w:hAnsi="Arial" w:cs="Arial"/>
        </w:rPr>
        <w:t xml:space="preserve">presentation of an Italian </w:t>
      </w:r>
      <w:r>
        <w:rPr>
          <w:rFonts w:ascii="Arial" w:hAnsi="Arial" w:cs="Arial"/>
        </w:rPr>
        <w:t xml:space="preserve">contractor family and their investments in the </w:t>
      </w:r>
      <w:proofErr w:type="spellStart"/>
      <w:r>
        <w:rPr>
          <w:rFonts w:ascii="Arial" w:hAnsi="Arial" w:cs="Arial"/>
        </w:rPr>
        <w:t>Pangalti</w:t>
      </w:r>
      <w:proofErr w:type="spellEnd"/>
      <w:r>
        <w:rPr>
          <w:rFonts w:ascii="Arial" w:hAnsi="Arial" w:cs="Arial"/>
        </w:rPr>
        <w:t xml:space="preserve"> region. </w:t>
      </w:r>
    </w:p>
    <w:p w:rsidR="00D829A0" w:rsidRDefault="00D829A0" w:rsidP="00943828">
      <w:pPr>
        <w:ind w:firstLine="720"/>
        <w:jc w:val="both"/>
        <w:rPr>
          <w:rFonts w:ascii="Arial" w:hAnsi="Arial" w:cs="Arial"/>
        </w:rPr>
      </w:pPr>
    </w:p>
    <w:p w:rsidR="00D829A0" w:rsidRDefault="00D829A0" w:rsidP="00943828">
      <w:pPr>
        <w:ind w:firstLine="720"/>
        <w:jc w:val="both"/>
        <w:rPr>
          <w:rFonts w:ascii="Arial" w:hAnsi="Arial" w:cs="Arial"/>
        </w:rPr>
      </w:pPr>
      <w:bookmarkStart w:id="0" w:name="_GoBack"/>
      <w:r>
        <w:rPr>
          <w:noProof/>
          <w:lang w:eastAsia="en-GB"/>
        </w:rPr>
        <w:drawing>
          <wp:inline distT="0" distB="0" distL="0" distR="0" wp14:anchorId="2AE7E16B" wp14:editId="0AEA4E8B">
            <wp:extent cx="5731510" cy="419798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extLst>
                        <a:ext uri="{28A0092B-C50C-407E-A947-70E740481C1C}">
                          <a14:useLocalDpi xmlns:a14="http://schemas.microsoft.com/office/drawing/2010/main" val="0"/>
                        </a:ext>
                      </a:extLst>
                    </a:blip>
                    <a:srcRect l="12153" t="35598" r="16401" b="25157"/>
                    <a:stretch/>
                  </pic:blipFill>
                  <pic:spPr>
                    <a:xfrm>
                      <a:off x="0" y="0"/>
                      <a:ext cx="5731510" cy="4197985"/>
                    </a:xfrm>
                    <a:prstGeom prst="rect">
                      <a:avLst/>
                    </a:prstGeom>
                  </pic:spPr>
                </pic:pic>
              </a:graphicData>
            </a:graphic>
          </wp:inline>
        </w:drawing>
      </w:r>
    </w:p>
    <w:bookmarkEnd w:id="0"/>
    <w:p w:rsidR="00943828" w:rsidRPr="007728D1" w:rsidRDefault="00943828" w:rsidP="007728D1">
      <w:pPr>
        <w:ind w:firstLine="720"/>
        <w:jc w:val="both"/>
        <w:rPr>
          <w:rFonts w:ascii="Arial" w:hAnsi="Arial" w:cs="Arial"/>
        </w:rPr>
      </w:pPr>
    </w:p>
    <w:p w:rsidR="007728D1" w:rsidRPr="007728D1" w:rsidRDefault="00D829A0" w:rsidP="007728D1">
      <w:r>
        <w:t xml:space="preserve"> </w:t>
      </w:r>
      <w:r>
        <w:tab/>
      </w:r>
      <w:proofErr w:type="spellStart"/>
      <w:r>
        <w:t>Pangalti</w:t>
      </w:r>
      <w:proofErr w:type="spellEnd"/>
      <w:r>
        <w:t xml:space="preserve"> Region, Late 19</w:t>
      </w:r>
      <w:r w:rsidRPr="00D829A0">
        <w:rPr>
          <w:vertAlign w:val="superscript"/>
        </w:rPr>
        <w:t>th</w:t>
      </w:r>
      <w:r>
        <w:t xml:space="preserve"> century</w:t>
      </w:r>
    </w:p>
    <w:sectPr w:rsidR="007728D1" w:rsidRPr="007728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8D1" w:rsidRDefault="007728D1" w:rsidP="007728D1">
      <w:pPr>
        <w:spacing w:after="0" w:line="240" w:lineRule="auto"/>
      </w:pPr>
      <w:r>
        <w:separator/>
      </w:r>
    </w:p>
  </w:endnote>
  <w:endnote w:type="continuationSeparator" w:id="0">
    <w:p w:rsidR="007728D1" w:rsidRDefault="007728D1" w:rsidP="0077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8D1" w:rsidRDefault="007728D1" w:rsidP="007728D1">
      <w:pPr>
        <w:spacing w:after="0" w:line="240" w:lineRule="auto"/>
      </w:pPr>
      <w:r>
        <w:separator/>
      </w:r>
    </w:p>
  </w:footnote>
  <w:footnote w:type="continuationSeparator" w:id="0">
    <w:p w:rsidR="007728D1" w:rsidRDefault="007728D1" w:rsidP="007728D1">
      <w:pPr>
        <w:spacing w:after="0" w:line="240" w:lineRule="auto"/>
      </w:pPr>
      <w:r>
        <w:continuationSeparator/>
      </w:r>
    </w:p>
  </w:footnote>
  <w:footnote w:id="1">
    <w:p w:rsidR="00B47737" w:rsidRPr="00B47737" w:rsidRDefault="00B47737">
      <w:pPr>
        <w:pStyle w:val="FootnoteText"/>
        <w:rPr>
          <w:lang w:val="en-GB"/>
        </w:rPr>
      </w:pPr>
      <w:r>
        <w:rPr>
          <w:rStyle w:val="FootnoteReference"/>
        </w:rPr>
        <w:footnoteRef/>
      </w:r>
      <w:r>
        <w:t xml:space="preserve"> </w:t>
      </w:r>
      <w:r w:rsidR="00BA59F1">
        <w:t xml:space="preserve">Due to the unbearable population increase in Pera, </w:t>
      </w:r>
      <w:r w:rsidR="00BA59F1" w:rsidRPr="00BA59F1">
        <w:t xml:space="preserve">272,800  </w:t>
      </w:r>
      <w:r w:rsidR="00BA59F1">
        <w:t>m2 area accross the military school in Harbiye had been opened for development w</w:t>
      </w:r>
      <w:r w:rsidR="00943828">
        <w:t xml:space="preserve">ith an imperial decree in 1848, </w:t>
      </w:r>
      <w:r w:rsidR="00D829A0">
        <w:t xml:space="preserve"> </w:t>
      </w:r>
      <w:r w:rsidR="00943828">
        <w:t xml:space="preserve">Zeynep Celik, </w:t>
      </w:r>
      <w:r w:rsidR="00D829A0">
        <w:t>Degisen Istanbul, Tarih Vakfi Yurt Yayinlari, Istanbul, 1996, p. 56</w:t>
      </w:r>
    </w:p>
  </w:footnote>
  <w:footnote w:id="2">
    <w:p w:rsidR="00943828" w:rsidRPr="00943828" w:rsidRDefault="00943828">
      <w:pPr>
        <w:pStyle w:val="FootnoteText"/>
        <w:rPr>
          <w:lang w:val="en-GB"/>
        </w:rPr>
      </w:pPr>
      <w:r>
        <w:rPr>
          <w:rStyle w:val="FootnoteReference"/>
        </w:rPr>
        <w:footnoteRef/>
      </w:r>
      <w:r>
        <w:t xml:space="preserve"> </w:t>
      </w:r>
      <w:r>
        <w:rPr>
          <w:lang w:val="en-GB"/>
        </w:rPr>
        <w:t xml:space="preserve">A database based on the property petitions given by the Italian citizens to the Italian consulate in Istanbul. </w:t>
      </w:r>
    </w:p>
  </w:footnote>
  <w:footnote w:id="3">
    <w:p w:rsidR="007728D1" w:rsidRPr="0022605C" w:rsidRDefault="007728D1" w:rsidP="007728D1">
      <w:pPr>
        <w:pStyle w:val="FootnoteText"/>
        <w:jc w:val="both"/>
        <w:rPr>
          <w:rFonts w:ascii="Times New Roman" w:hAnsi="Times New Roman" w:cs="Times New Roman"/>
          <w:lang w:val="en-GB"/>
        </w:rPr>
      </w:pPr>
      <w:r w:rsidRPr="0022605C">
        <w:rPr>
          <w:rStyle w:val="FootnoteReference"/>
          <w:rFonts w:ascii="Times New Roman" w:hAnsi="Times New Roman" w:cs="Times New Roman"/>
        </w:rPr>
        <w:footnoteRef/>
      </w:r>
      <w:r w:rsidRPr="0022605C">
        <w:rPr>
          <w:rFonts w:ascii="Times New Roman" w:hAnsi="Times New Roman" w:cs="Times New Roman"/>
        </w:rPr>
        <w:t xml:space="preserve"> </w:t>
      </w:r>
      <w:r w:rsidR="00D829A0">
        <w:rPr>
          <w:rFonts w:ascii="Times New Roman" w:hAnsi="Times New Roman" w:cs="Times New Roman"/>
        </w:rPr>
        <w:t>“</w:t>
      </w:r>
      <w:r w:rsidRPr="0022605C">
        <w:rPr>
          <w:rFonts w:ascii="Times New Roman" w:hAnsi="Times New Roman" w:cs="Times New Roman"/>
        </w:rPr>
        <w:t>Tünel’de taşınan yolcu sayısı 1880’lerden 1910’a kadar 2.700.00 ile 3.200.000 arasından değişmişti</w:t>
      </w:r>
      <w:r w:rsidR="00D829A0">
        <w:rPr>
          <w:rFonts w:ascii="Times New Roman" w:hAnsi="Times New Roman" w:cs="Times New Roman"/>
        </w:rPr>
        <w:t>”</w:t>
      </w:r>
      <w:r w:rsidRPr="0022605C">
        <w:rPr>
          <w:rFonts w:ascii="Times New Roman" w:hAnsi="Times New Roman" w:cs="Times New Roman"/>
        </w:rPr>
        <w:t xml:space="preserve">. Murat Guvenc, </w:t>
      </w:r>
      <w:hyperlink r:id="rId1" w:history="1">
        <w:r w:rsidRPr="0022605C">
          <w:rPr>
            <w:rStyle w:val="Hyperlink"/>
            <w:rFonts w:ascii="Times New Roman" w:hAnsi="Times New Roman" w:cs="Times New Roman"/>
          </w:rPr>
          <w:t>https://archives.saltresearch.org/bitstream/123456789/184483/1/ECOBARCE039.pdf</w:t>
        </w:r>
      </w:hyperlink>
      <w:r w:rsidRPr="0022605C">
        <w:rPr>
          <w:rFonts w:ascii="Times New Roman" w:hAnsi="Times New Roman" w:cs="Times New Roman"/>
        </w:rPr>
        <w:t xml:space="preserve"> ,</w:t>
      </w:r>
    </w:p>
  </w:footnote>
  <w:footnote w:id="4">
    <w:p w:rsidR="007728D1" w:rsidRPr="0022605C" w:rsidRDefault="007728D1" w:rsidP="007728D1">
      <w:pPr>
        <w:pStyle w:val="FootnoteText"/>
        <w:jc w:val="both"/>
        <w:rPr>
          <w:rFonts w:ascii="Times New Roman" w:hAnsi="Times New Roman" w:cs="Times New Roman"/>
        </w:rPr>
      </w:pPr>
      <w:r w:rsidRPr="0022605C">
        <w:rPr>
          <w:rStyle w:val="FootnoteReference"/>
          <w:rFonts w:ascii="Times New Roman" w:hAnsi="Times New Roman" w:cs="Times New Roman"/>
        </w:rPr>
        <w:footnoteRef/>
      </w:r>
      <w:r w:rsidRPr="0022605C">
        <w:rPr>
          <w:rFonts w:ascii="Times New Roman" w:hAnsi="Times New Roman" w:cs="Times New Roman"/>
        </w:rPr>
        <w:t xml:space="preserve"> </w:t>
      </w:r>
      <w:r w:rsidRPr="0022605C">
        <w:rPr>
          <w:rFonts w:ascii="Times New Roman" w:hAnsi="Times New Roman" w:cs="Times New Roman"/>
        </w:rPr>
        <w:t xml:space="preserve">Galata ve Pera’nın Toplumsal Coğrafyasındaki Değişme: 1910-1922 Doğu Yıllıkları Üzerinde Çözümlemeler, Murat Guvenc, </w:t>
      </w:r>
      <w:hyperlink r:id="rId2" w:history="1">
        <w:r w:rsidRPr="0022605C">
          <w:rPr>
            <w:rStyle w:val="Hyperlink"/>
            <w:rFonts w:ascii="Times New Roman" w:hAnsi="Times New Roman" w:cs="Times New Roman"/>
          </w:rPr>
          <w:t>https://archives.saltresearch.org/bitstream/123456789/184483/1/ECOBARCE039.pdf</w:t>
        </w:r>
      </w:hyperlink>
      <w:r w:rsidRPr="0022605C">
        <w:rPr>
          <w:rFonts w:ascii="Times New Roman" w:hAnsi="Times New Roman" w:cs="Times New Roman"/>
        </w:rPr>
        <w:t xml:space="preserve"> , </w:t>
      </w:r>
    </w:p>
  </w:footnote>
  <w:footnote w:id="5">
    <w:p w:rsidR="007728D1" w:rsidRPr="00994D14" w:rsidRDefault="007728D1" w:rsidP="007728D1">
      <w:pPr>
        <w:pStyle w:val="FootnoteText"/>
        <w:jc w:val="both"/>
      </w:pPr>
      <w:r w:rsidRPr="0022605C">
        <w:rPr>
          <w:rStyle w:val="FootnoteReference"/>
          <w:rFonts w:ascii="Times New Roman" w:hAnsi="Times New Roman" w:cs="Times New Roman"/>
        </w:rPr>
        <w:footnoteRef/>
      </w:r>
      <w:r w:rsidRPr="0022605C">
        <w:rPr>
          <w:rFonts w:ascii="Times New Roman" w:hAnsi="Times New Roman" w:cs="Times New Roman"/>
        </w:rPr>
        <w:t xml:space="preserve"> </w:t>
      </w:r>
      <w:r w:rsidRPr="0022605C">
        <w:rPr>
          <w:rFonts w:ascii="Times New Roman" w:hAnsi="Times New Roman" w:cs="Times New Roman"/>
        </w:rPr>
        <w:t>Ayşe Derin Öncel, Apartman,</w:t>
      </w:r>
      <w:r w:rsidR="00D829A0">
        <w:rPr>
          <w:rFonts w:ascii="Times New Roman" w:hAnsi="Times New Roman" w:cs="Times New Roman"/>
        </w:rPr>
        <w:t xml:space="preserve"> Kitap Yayinevi, Istanbul, 2010,</w:t>
      </w:r>
      <w:r w:rsidRPr="0022605C">
        <w:rPr>
          <w:rFonts w:ascii="Times New Roman" w:hAnsi="Times New Roman" w:cs="Times New Roman"/>
        </w:rPr>
        <w:t xml:space="preserve"> p. 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D1"/>
    <w:rsid w:val="00026932"/>
    <w:rsid w:val="0005248A"/>
    <w:rsid w:val="00360914"/>
    <w:rsid w:val="00362804"/>
    <w:rsid w:val="00554351"/>
    <w:rsid w:val="007728D1"/>
    <w:rsid w:val="00943828"/>
    <w:rsid w:val="00B47737"/>
    <w:rsid w:val="00BA59F1"/>
    <w:rsid w:val="00D829A0"/>
    <w:rsid w:val="00F06BFC"/>
    <w:rsid w:val="00F34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2712B-CAEB-4CD6-BACE-0620D150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2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8D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7728D1"/>
    <w:pPr>
      <w:spacing w:after="0" w:line="240" w:lineRule="auto"/>
    </w:pPr>
    <w:rPr>
      <w:rFonts w:eastAsiaTheme="minorEastAsia"/>
      <w:sz w:val="20"/>
      <w:szCs w:val="20"/>
      <w:lang w:val="tr-TR" w:eastAsia="tr-TR"/>
    </w:rPr>
  </w:style>
  <w:style w:type="character" w:customStyle="1" w:styleId="FootnoteTextChar">
    <w:name w:val="Footnote Text Char"/>
    <w:basedOn w:val="DefaultParagraphFont"/>
    <w:link w:val="FootnoteText"/>
    <w:uiPriority w:val="99"/>
    <w:semiHidden/>
    <w:rsid w:val="007728D1"/>
    <w:rPr>
      <w:rFonts w:eastAsiaTheme="minorEastAsia"/>
      <w:sz w:val="20"/>
      <w:szCs w:val="20"/>
      <w:lang w:val="tr-TR" w:eastAsia="tr-TR"/>
    </w:rPr>
  </w:style>
  <w:style w:type="character" w:styleId="FootnoteReference">
    <w:name w:val="footnote reference"/>
    <w:basedOn w:val="DefaultParagraphFont"/>
    <w:uiPriority w:val="99"/>
    <w:semiHidden/>
    <w:unhideWhenUsed/>
    <w:rsid w:val="007728D1"/>
    <w:rPr>
      <w:vertAlign w:val="superscript"/>
    </w:rPr>
  </w:style>
  <w:style w:type="character" w:styleId="Hyperlink">
    <w:name w:val="Hyperlink"/>
    <w:basedOn w:val="DefaultParagraphFont"/>
    <w:uiPriority w:val="99"/>
    <w:unhideWhenUsed/>
    <w:rsid w:val="007728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rchives.saltresearch.org/bitstream/123456789/184483/1/ECOBARCE039.pdf" TargetMode="External"/><Relationship Id="rId1" Type="http://schemas.openxmlformats.org/officeDocument/2006/relationships/hyperlink" Target="https://archives.saltresearch.org/bitstream/123456789/184483/1/ECOBARCE03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49C58-E3C8-406F-AECD-93BF3C03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Cebeci</dc:creator>
  <cp:keywords/>
  <dc:description/>
  <cp:lastModifiedBy>Zeynep Cebeci</cp:lastModifiedBy>
  <cp:revision>1</cp:revision>
  <dcterms:created xsi:type="dcterms:W3CDTF">2020-07-08T11:26:00Z</dcterms:created>
  <dcterms:modified xsi:type="dcterms:W3CDTF">2020-07-08T16:20:00Z</dcterms:modified>
</cp:coreProperties>
</file>